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rFonts w:ascii="Arial Black" w:hAnsi="Arial Black" w:cs="Arial"/>
          <w:b/>
          <w:bCs/>
          <w:color w:val="333399"/>
          <w:sz w:val="48"/>
          <w:szCs w:val="48"/>
        </w:rPr>
      </w:pPr>
      <w:r>
        <w:rPr>
          <w:rFonts w:ascii="Arial Black" w:hAnsi="Arial Black" w:cs="Arial"/>
          <w:b/>
          <w:bCs/>
          <w:color w:val="333399"/>
          <w:sz w:val="48"/>
          <w:szCs w:val="48"/>
        </w:rPr>
        <w:t>PVC Switchboard Cable</w:t>
      </w:r>
    </w:p>
    <w:p>
      <w:pPr>
        <w:spacing w:line="520" w:lineRule="exact"/>
        <w:jc w:val="center"/>
        <w:rPr>
          <w:rFonts w:ascii="Arial Black" w:hAnsi="Arial Black" w:cs="Arial"/>
          <w:b/>
          <w:bCs/>
          <w:color w:val="333399"/>
          <w:sz w:val="48"/>
          <w:szCs w:val="48"/>
        </w:rPr>
      </w:pPr>
      <w:r>
        <w:rPr>
          <w:rFonts w:ascii="Arial Black" w:hAnsi="Arial Black" w:eastAsia="新細明體" w:cs="Times New Roman"/>
          <w:color w:val="333399"/>
          <w:kern w:val="2"/>
          <w:sz w:val="48"/>
          <w:szCs w:val="48"/>
          <w:lang w:val="en-US" w:eastAsia="zh-TW" w:bidi="ar-SA"/>
        </w:rPr>
        <w:pict>
          <v:shape id="圖片 1" o:spid="_x0000_s1026" type="#_x0000_t75" style="position:absolute;left:0;margin-left:140.7pt;margin-top:14.8pt;height:54.75pt;width:264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520" w:lineRule="exact"/>
        <w:jc w:val="center"/>
        <w:rPr>
          <w:rFonts w:ascii="Arial Black" w:hAnsi="Arial Black" w:cs="Arial"/>
          <w:b/>
          <w:bCs/>
          <w:color w:val="333399"/>
          <w:sz w:val="48"/>
          <w:szCs w:val="48"/>
        </w:rPr>
      </w:pPr>
    </w:p>
    <w:p>
      <w:pPr>
        <w:spacing w:line="240" w:lineRule="exact"/>
        <w:jc w:val="center"/>
        <w:rPr>
          <w:rFonts w:hint="eastAsia" w:ascii="Arial" w:hAnsi="Symbol" w:cs="Arial"/>
          <w:color w:val="333333"/>
          <w:sz w:val="20"/>
          <w:szCs w:val="20"/>
        </w:rPr>
      </w:pPr>
      <w:bookmarkStart w:id="0" w:name="_GoBack"/>
      <w:bookmarkEnd w:id="0"/>
    </w:p>
    <w:p>
      <w:pPr>
        <w:spacing w:line="240" w:lineRule="exact"/>
        <w:jc w:val="center"/>
        <w:rPr>
          <w:rFonts w:hint="eastAsia" w:ascii="Arial" w:hAnsi="Symbol" w:cs="Arial"/>
          <w:color w:val="333333"/>
          <w:sz w:val="20"/>
          <w:szCs w:val="20"/>
        </w:rPr>
      </w:pPr>
    </w:p>
    <w:p>
      <w:pPr>
        <w:spacing w:line="240" w:lineRule="exact"/>
        <w:rPr>
          <w:rFonts w:hint="eastAsia" w:ascii="Arial" w:hAnsi="Symbol" w:cs="Arial"/>
          <w:color w:val="333333"/>
          <w:sz w:val="20"/>
          <w:szCs w:val="20"/>
        </w:rPr>
      </w:pPr>
      <w:r>
        <w:rPr>
          <w:rFonts w:ascii="Arial" w:hAnsi="Symbol" w:cs="Arial"/>
          <w:b/>
          <w:color w:val="333333"/>
          <w:sz w:val="20"/>
          <w:szCs w:val="20"/>
        </w:rPr>
        <w:t>Applications</w:t>
      </w:r>
      <w:r>
        <w:rPr>
          <w:rFonts w:hint="eastAsia" w:ascii="Arial" w:hAnsi="Symbol" w:cs="Arial"/>
          <w:b/>
          <w:color w:val="333333"/>
          <w:sz w:val="20"/>
          <w:szCs w:val="20"/>
        </w:rPr>
        <w:t>：</w:t>
      </w:r>
    </w:p>
    <w:p>
      <w:pPr>
        <w:spacing w:line="240" w:lineRule="exact"/>
        <w:rPr>
          <w:rFonts w:hint="eastAsia" w:ascii="Arial" w:hAnsi="Symbol" w:cs="Arial"/>
          <w:color w:val="333333"/>
          <w:sz w:val="20"/>
          <w:szCs w:val="20"/>
        </w:rPr>
      </w:pPr>
      <w:r>
        <w:rPr>
          <w:rFonts w:ascii="Arial" w:hAnsi="Symbol" w:cs="Arial"/>
          <w:color w:val="333333"/>
          <w:sz w:val="20"/>
          <w:szCs w:val="20"/>
        </w:rPr>
        <w:t xml:space="preserve">This cable is insulated and jacketed by PVC,used to connect </w:t>
      </w:r>
    </w:p>
    <w:p>
      <w:pPr>
        <w:spacing w:line="240" w:lineRule="exact"/>
        <w:rPr>
          <w:rFonts w:hint="eastAsia" w:ascii="Arial" w:hAnsi="Symbol" w:cs="Arial"/>
          <w:color w:val="333333"/>
          <w:sz w:val="20"/>
          <w:szCs w:val="20"/>
        </w:rPr>
      </w:pPr>
      <w:r>
        <w:rPr>
          <w:rFonts w:ascii="Arial" w:hAnsi="Symbol" w:cs="Arial"/>
          <w:color w:val="333333"/>
          <w:sz w:val="20"/>
          <w:szCs w:val="20"/>
        </w:rPr>
        <w:t>PBX equipment.</w:t>
      </w:r>
    </w:p>
    <w:p>
      <w:pPr>
        <w:spacing w:line="240" w:lineRule="exact"/>
        <w:jc w:val="center"/>
        <w:rPr>
          <w:rFonts w:hint="eastAsia" w:ascii="Arial" w:hAnsi="Symbol" w:cs="Arial"/>
          <w:color w:val="333333"/>
          <w:sz w:val="20"/>
          <w:szCs w:val="20"/>
        </w:rPr>
      </w:pPr>
    </w:p>
    <w:tbl>
      <w:tblPr>
        <w:tblW w:w="10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9"/>
        <w:gridCol w:w="1002"/>
        <w:gridCol w:w="1350"/>
        <w:gridCol w:w="1496"/>
        <w:gridCol w:w="1307"/>
        <w:gridCol w:w="1451"/>
        <w:gridCol w:w="147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1" w:type="dxa"/>
            <w:gridSpan w:val="2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Conductor</w:t>
            </w:r>
          </w:p>
        </w:tc>
        <w:tc>
          <w:tcPr>
            <w:tcW w:w="1350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No. of wire</w:t>
            </w:r>
          </w:p>
        </w:tc>
        <w:tc>
          <w:tcPr>
            <w:tcW w:w="1496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PVC Insulation</w:t>
            </w:r>
          </w:p>
        </w:tc>
        <w:tc>
          <w:tcPr>
            <w:tcW w:w="1307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PVC Insulation</w:t>
            </w:r>
          </w:p>
        </w:tc>
        <w:tc>
          <w:tcPr>
            <w:tcW w:w="1451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Diameter Overall</w:t>
            </w:r>
          </w:p>
        </w:tc>
        <w:tc>
          <w:tcPr>
            <w:tcW w:w="1477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Diameter Overall</w:t>
            </w:r>
          </w:p>
        </w:tc>
        <w:tc>
          <w:tcPr>
            <w:tcW w:w="1475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9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AWG</w:t>
            </w:r>
          </w:p>
        </w:tc>
        <w:tc>
          <w:tcPr>
            <w:tcW w:w="1002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Diameter (mm</w:t>
            </w:r>
            <w:r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  <w:t>/inch</w:t>
            </w: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 xml:space="preserve">C         </w:t>
            </w:r>
          </w:p>
        </w:tc>
        <w:tc>
          <w:tcPr>
            <w:tcW w:w="1496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Thickness (mm/inch)</w:t>
            </w:r>
          </w:p>
        </w:tc>
        <w:tc>
          <w:tcPr>
            <w:tcW w:w="1307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Min. Thickness (mm/inch)</w:t>
            </w:r>
          </w:p>
        </w:tc>
        <w:tc>
          <w:tcPr>
            <w:tcW w:w="1451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std.</w:t>
            </w:r>
          </w:p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(mm/inch)</w:t>
            </w:r>
          </w:p>
        </w:tc>
        <w:tc>
          <w:tcPr>
            <w:tcW w:w="1477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max.</w:t>
            </w:r>
            <w:r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(mm/inch)</w:t>
            </w:r>
          </w:p>
        </w:tc>
        <w:tc>
          <w:tcPr>
            <w:tcW w:w="1475" w:type="dxa"/>
            <w:shd w:val="clear" w:color="auto" w:fill="00008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Length</w:t>
            </w:r>
          </w:p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Symbol" w:cs="Arial"/>
                <w:b/>
                <w:color w:val="FFFFFF"/>
                <w:sz w:val="18"/>
                <w:szCs w:val="18"/>
              </w:rPr>
              <w:t>(m/ft)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0.5/0.02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0.30/0.</w:t>
            </w:r>
            <w:r>
              <w:rPr>
                <w:rFonts w:hint="eastAsia" w:ascii="Arial" w:hAnsi="Symbol" w:cs="Arial"/>
                <w:color w:val="333333"/>
                <w:sz w:val="16"/>
                <w:szCs w:val="20"/>
              </w:rPr>
              <w:t>0</w:t>
            </w:r>
            <w:r>
              <w:rPr>
                <w:rFonts w:ascii="Arial" w:hAnsi="Symbol" w:cs="Arial"/>
                <w:color w:val="333333"/>
                <w:sz w:val="16"/>
                <w:szCs w:val="20"/>
              </w:rPr>
              <w:t>12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0.90/0.035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6.5/0.26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7.5/0.30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  <w:r>
              <w:rPr>
                <w:rFonts w:ascii="Arial" w:hAnsi="Symbol" w:cs="Arial"/>
                <w:color w:val="333333"/>
                <w:sz w:val="18"/>
                <w:szCs w:val="20"/>
              </w:rPr>
              <w:t>500/152.5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8.0/0.31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9.0/0.35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10.0/0.40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11.0/0.43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10.0/0.40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11.0/0.43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33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11.5/0.45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12.5/0.49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40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12.0/0.47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13.0/0.51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48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12.5/0.49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13.5/0.53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60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14.0/0.55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15.0/0.59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75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15.5/0.61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16.5/0.65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80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16.0/0.63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17.0/0.67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100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17.0/0.67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18.0/0.71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120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18.5/0.73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19.5/0.77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150</w:t>
            </w:r>
          </w:p>
        </w:tc>
        <w:tc>
          <w:tcPr>
            <w:tcW w:w="14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20.5/0.81</w:t>
            </w: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21.5/0.85</w:t>
            </w:r>
          </w:p>
        </w:tc>
        <w:tc>
          <w:tcPr>
            <w:tcW w:w="14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restart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1002" w:type="dxa"/>
            <w:vMerge w:val="restart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0.65/0.025</w:t>
            </w:r>
          </w:p>
        </w:tc>
        <w:tc>
          <w:tcPr>
            <w:tcW w:w="1350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1496" w:type="dxa"/>
            <w:vMerge w:val="restart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0.30/0.</w:t>
            </w:r>
            <w:r>
              <w:rPr>
                <w:rFonts w:hint="eastAsia" w:ascii="Arial" w:hAnsi="Symbol" w:cs="Arial"/>
                <w:color w:val="333333"/>
                <w:sz w:val="16"/>
                <w:szCs w:val="20"/>
              </w:rPr>
              <w:t>0</w:t>
            </w:r>
            <w:r>
              <w:rPr>
                <w:rFonts w:ascii="Arial" w:hAnsi="Symbol" w:cs="Arial"/>
                <w:color w:val="333333"/>
                <w:sz w:val="16"/>
                <w:szCs w:val="20"/>
              </w:rPr>
              <w:t>12</w:t>
            </w:r>
          </w:p>
        </w:tc>
        <w:tc>
          <w:tcPr>
            <w:tcW w:w="1307" w:type="dxa"/>
            <w:vMerge w:val="restart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0.90/0.035</w:t>
            </w:r>
          </w:p>
        </w:tc>
        <w:tc>
          <w:tcPr>
            <w:tcW w:w="1451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7.0/0.28</w:t>
            </w:r>
          </w:p>
        </w:tc>
        <w:tc>
          <w:tcPr>
            <w:tcW w:w="1477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8.0/0.31</w:t>
            </w:r>
          </w:p>
        </w:tc>
        <w:tc>
          <w:tcPr>
            <w:tcW w:w="1475" w:type="dxa"/>
            <w:vMerge w:val="restart"/>
            <w:shd w:val="clear" w:color="auto" w:fill="CC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  <w:r>
              <w:rPr>
                <w:rFonts w:ascii="Arial" w:hAnsi="Symbol" w:cs="Arial"/>
                <w:color w:val="333333"/>
                <w:sz w:val="18"/>
                <w:szCs w:val="20"/>
              </w:rPr>
              <w:t>500/152.5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</w:t>
            </w:r>
          </w:p>
        </w:tc>
        <w:tc>
          <w:tcPr>
            <w:tcW w:w="1496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shd w:val="clear" w:color="auto" w:fill="CCFFFF"/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9.0/0.35</w:t>
            </w:r>
          </w:p>
        </w:tc>
        <w:tc>
          <w:tcPr>
            <w:tcW w:w="1477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10.0/0.40</w:t>
            </w:r>
          </w:p>
        </w:tc>
        <w:tc>
          <w:tcPr>
            <w:tcW w:w="1475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809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002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1496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307" w:type="dxa"/>
            <w:vMerge w:val="continue"/>
            <w:shd w:val="clear" w:color="auto" w:fill="CCFFFF"/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</w:p>
        </w:tc>
        <w:tc>
          <w:tcPr>
            <w:tcW w:w="1451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11.0/0.43</w:t>
            </w:r>
          </w:p>
        </w:tc>
        <w:tc>
          <w:tcPr>
            <w:tcW w:w="1477" w:type="dxa"/>
            <w:shd w:val="clear" w:color="auto" w:fill="CCFFFF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Arial" w:hAnsi="Symbol" w:cs="Arial"/>
                <w:color w:val="333333"/>
                <w:sz w:val="16"/>
                <w:szCs w:val="20"/>
              </w:rPr>
            </w:pPr>
            <w:r>
              <w:rPr>
                <w:rFonts w:ascii="Arial" w:hAnsi="Symbol" w:cs="Arial"/>
                <w:color w:val="333333"/>
                <w:sz w:val="16"/>
                <w:szCs w:val="20"/>
              </w:rPr>
              <w:t>12.0/0.47</w:t>
            </w:r>
          </w:p>
        </w:tc>
        <w:tc>
          <w:tcPr>
            <w:tcW w:w="1475" w:type="dxa"/>
            <w:vMerge w:val="continue"/>
            <w:shd w:val="clear" w:color="auto" w:fill="CC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Arial" w:hAnsi="Symbol" w:cs="Arial"/>
                <w:color w:val="333333"/>
                <w:sz w:val="18"/>
                <w:szCs w:val="20"/>
              </w:rPr>
            </w:pPr>
          </w:p>
        </w:tc>
      </w:tr>
    </w:tbl>
    <w:p>
      <w:pPr>
        <w:snapToGrid w:val="0"/>
        <w:spacing w:line="220" w:lineRule="exact"/>
        <w:rPr>
          <w:rFonts w:hint="eastAsia" w:ascii="Arial" w:hAnsi="Symbol" w:cs="Arial"/>
          <w:color w:val="333333"/>
          <w:sz w:val="18"/>
          <w:szCs w:val="20"/>
        </w:rPr>
      </w:pPr>
    </w:p>
    <w:p>
      <w:pPr>
        <w:spacing w:line="360" w:lineRule="exact"/>
        <w:rPr>
          <w:rFonts w:hint="eastAsia" w:ascii="Arial" w:hAnsi="Symbol" w:cs="Arial"/>
          <w:color w:val="333333"/>
          <w:sz w:val="20"/>
          <w:szCs w:val="20"/>
        </w:rPr>
      </w:pPr>
      <w:r>
        <w:rPr>
          <w:rFonts w:ascii="Arial" w:hAnsi="Symbol" w:cs="Arial"/>
          <w:color w:val="333333"/>
          <w:sz w:val="20"/>
          <w:szCs w:val="20"/>
        </w:rPr>
        <w:t>Characteristics</w:t>
      </w:r>
      <w:r>
        <w:rPr>
          <w:rFonts w:hint="eastAsia" w:ascii="Arial" w:hAnsi="Symbol" w:cs="Arial"/>
          <w:color w:val="333333"/>
          <w:sz w:val="20"/>
          <w:szCs w:val="20"/>
        </w:rPr>
        <w:t>：</w:t>
      </w:r>
    </w:p>
    <w:tbl>
      <w:tblPr>
        <w:tblW w:w="10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2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82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Items</w:t>
            </w:r>
          </w:p>
        </w:tc>
        <w:tc>
          <w:tcPr>
            <w:tcW w:w="5380" w:type="dxa"/>
            <w:shd w:val="clear" w:color="auto" w:fill="00008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38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Conductor Resistance (20℃)</w:t>
            </w:r>
          </w:p>
        </w:tc>
        <w:tc>
          <w:tcPr>
            <w:tcW w:w="5380" w:type="dxa"/>
            <w:vAlign w:val="center"/>
          </w:tcPr>
          <w:p>
            <w:pPr>
              <w:spacing w:line="200" w:lineRule="exact"/>
              <w:ind w:firstLine="240"/>
              <w:jc w:val="right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0.50mm(TC)           100.2              Ω/km max.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38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</w:p>
        </w:tc>
        <w:tc>
          <w:tcPr>
            <w:tcW w:w="5380" w:type="dxa"/>
            <w:vAlign w:val="center"/>
          </w:tcPr>
          <w:p>
            <w:pPr>
              <w:spacing w:line="200" w:lineRule="exact"/>
              <w:ind w:firstLine="240"/>
              <w:jc w:val="right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0.65mm(TC)            59.3              Ω/km max.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38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Insulation Resistance (20℃,DC 100~500V/1min)</w:t>
            </w:r>
          </w:p>
        </w:tc>
        <w:tc>
          <w:tcPr>
            <w:tcW w:w="538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                            1000             MΩ-km min.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1" w:hRule="atLeast"/>
        </w:trPr>
        <w:tc>
          <w:tcPr>
            <w:tcW w:w="5382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Dielectric Strength</w:t>
            </w:r>
          </w:p>
        </w:tc>
        <w:tc>
          <w:tcPr>
            <w:tcW w:w="538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D.C. 500 V/1min or A.C. 350 V/1min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38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>Capacitance (1KHz)</w:t>
            </w:r>
          </w:p>
        </w:tc>
        <w:tc>
          <w:tcPr>
            <w:tcW w:w="538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                            140             nF/km Max.</w:t>
            </w:r>
          </w:p>
        </w:tc>
      </w:tr>
    </w:tbl>
    <w:p>
      <w:pPr>
        <w:spacing w:line="200" w:lineRule="exact"/>
        <w:rPr>
          <w:rFonts w:hint="eastAsia"/>
        </w:rPr>
      </w:pPr>
    </w:p>
    <w:p/>
    <w:sectPr>
      <w:pgSz w:w="11906" w:h="16838"/>
      <w:pgMar w:top="567" w:right="567" w:bottom="249" w:left="56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 2"/>
    <w:basedOn w:val="1"/>
    <w:link w:val="4"/>
    <w:uiPriority w:val="0"/>
    <w:rPr>
      <w:color w:val="333333"/>
      <w:sz w:val="20"/>
    </w:rPr>
  </w:style>
  <w:style w:type="character" w:customStyle="1" w:styleId="4">
    <w:name w:val="本文 2 字元"/>
    <w:basedOn w:val="3"/>
    <w:link w:val="2"/>
    <w:uiPriority w:val="0"/>
    <w:rPr>
      <w:rFonts w:ascii="Times New Roman" w:hAnsi="Times New Roman" w:eastAsia="新細明體" w:cs="Times New Roman"/>
      <w:color w:val="333333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2122</Characters>
  <Lines>17</Lines>
  <Paragraphs>4</Paragraphs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2017-10-03T03:08:00Z</dcterms:created>
  <dc:creator>user</dc:creator>
  <cp:lastModifiedBy>user2</cp:lastModifiedBy>
  <dcterms:modified xsi:type="dcterms:W3CDTF">2017-10-03T04:45:05Z</dcterms:modified>
  <dc:title>PVC Switchboard Cable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